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E9E8F" w14:textId="743377F9" w:rsidR="00280DD1" w:rsidRPr="00E54BF6" w:rsidRDefault="001C7608" w:rsidP="00280DD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E54BF6">
        <w:rPr>
          <w:lang w:val="en-US"/>
        </w:rPr>
        <w:t xml:space="preserve">3GPP TSG-RAN WG2 </w:t>
      </w:r>
      <w:r w:rsidR="00CF0F23" w:rsidRPr="00E54BF6">
        <w:rPr>
          <w:lang w:val="en-US"/>
        </w:rPr>
        <w:t>109bis</w:t>
      </w:r>
      <w:r w:rsidR="00280DD1" w:rsidRPr="00E54BF6">
        <w:rPr>
          <w:lang w:val="en-US"/>
        </w:rPr>
        <w:tab/>
      </w:r>
      <w:r w:rsidR="000A0955" w:rsidRPr="000A0955">
        <w:rPr>
          <w:sz w:val="32"/>
          <w:szCs w:val="32"/>
          <w:lang w:val="en-US"/>
        </w:rPr>
        <w:t>R2-2003131</w:t>
      </w:r>
    </w:p>
    <w:p w14:paraId="0395A21A" w14:textId="748A3C04" w:rsidR="00280DD1" w:rsidRDefault="00CF0F23" w:rsidP="00280DD1">
      <w:pPr>
        <w:pStyle w:val="3GPPHeader"/>
      </w:pPr>
      <w:r>
        <w:t>Electronic Meeting</w:t>
      </w:r>
      <w:r w:rsidR="00280DD1">
        <w:t>, 2</w:t>
      </w:r>
      <w:r>
        <w:t xml:space="preserve">0 </w:t>
      </w:r>
      <w:r w:rsidR="00280DD1">
        <w:t xml:space="preserve">– </w:t>
      </w:r>
      <w:r w:rsidR="00F11A1E">
        <w:t>30</w:t>
      </w:r>
      <w:bookmarkStart w:id="0" w:name="_GoBack"/>
      <w:bookmarkEnd w:id="0"/>
      <w:r w:rsidR="001C7608">
        <w:t xml:space="preserve"> </w:t>
      </w:r>
      <w:r>
        <w:t>April</w:t>
      </w:r>
      <w:r w:rsidR="00280DD1">
        <w:t xml:space="preserve"> 20</w:t>
      </w:r>
      <w:r>
        <w:t>20</w:t>
      </w:r>
    </w:p>
    <w:p w14:paraId="1E78843B" w14:textId="77777777" w:rsidR="00E90E49" w:rsidRPr="00CE0424" w:rsidRDefault="00E90E49" w:rsidP="00357380">
      <w:pPr>
        <w:pStyle w:val="3GPPHeader"/>
      </w:pPr>
    </w:p>
    <w:p w14:paraId="10759B89" w14:textId="6E402324" w:rsidR="00E90E49" w:rsidRPr="00A64059" w:rsidRDefault="00E90E49" w:rsidP="00311702">
      <w:pPr>
        <w:pStyle w:val="3GPPHeader"/>
        <w:rPr>
          <w:sz w:val="22"/>
          <w:szCs w:val="22"/>
          <w:lang w:val="en-US"/>
        </w:rPr>
      </w:pPr>
      <w:r w:rsidRPr="00A64059">
        <w:rPr>
          <w:sz w:val="22"/>
          <w:szCs w:val="22"/>
          <w:lang w:val="en-US"/>
        </w:rPr>
        <w:t>Agenda Item:</w:t>
      </w:r>
      <w:r w:rsidRPr="00A64059">
        <w:rPr>
          <w:sz w:val="22"/>
          <w:szCs w:val="22"/>
          <w:lang w:val="en-US"/>
        </w:rPr>
        <w:tab/>
      </w:r>
      <w:r w:rsidR="00E54BF6">
        <w:rPr>
          <w:sz w:val="22"/>
          <w:szCs w:val="22"/>
          <w:lang w:val="en-US"/>
        </w:rPr>
        <w:t>7.2.6</w:t>
      </w:r>
    </w:p>
    <w:p w14:paraId="0ADC90EB" w14:textId="6AB89EE5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44161A">
        <w:rPr>
          <w:sz w:val="22"/>
          <w:szCs w:val="22"/>
        </w:rPr>
        <w:t>, Nokia, Nokia Shanghai Bell, ZTE Corporation</w:t>
      </w:r>
    </w:p>
    <w:p w14:paraId="4AB0390C" w14:textId="45F3A16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A0955">
        <w:rPr>
          <w:sz w:val="22"/>
          <w:szCs w:val="22"/>
        </w:rPr>
        <w:t xml:space="preserve">To Verify </w:t>
      </w:r>
      <w:r w:rsidR="00CF0F23">
        <w:rPr>
          <w:sz w:val="22"/>
          <w:szCs w:val="22"/>
        </w:rPr>
        <w:t xml:space="preserve">ANR Measurements </w:t>
      </w:r>
    </w:p>
    <w:p w14:paraId="65896B9B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E54BF6">
        <w:rPr>
          <w:sz w:val="22"/>
          <w:szCs w:val="22"/>
        </w:rPr>
        <w:t>Discussion, Decision</w:t>
      </w:r>
    </w:p>
    <w:p w14:paraId="63F208E0" w14:textId="77777777" w:rsidR="00C24345" w:rsidRDefault="00E90E49" w:rsidP="00A2052C">
      <w:pPr>
        <w:pStyle w:val="Heading1"/>
      </w:pPr>
      <w:r w:rsidRPr="00CE0424">
        <w:t>Introduction</w:t>
      </w:r>
    </w:p>
    <w:p w14:paraId="574B64F9" w14:textId="77777777" w:rsidR="00A2052C" w:rsidRDefault="00CF0F23" w:rsidP="00A2052C">
      <w:r>
        <w:t>RAN2 has defined the ANR measurements. The main agreements with regards to ANR measurements are.</w:t>
      </w:r>
    </w:p>
    <w:p w14:paraId="026D7802" w14:textId="77777777" w:rsidR="00CF0F23" w:rsidRDefault="00CF0F23" w:rsidP="00CF0F23">
      <w:pPr>
        <w:pStyle w:val="Agreement"/>
        <w:rPr>
          <w:rFonts w:ascii="Calibri" w:eastAsia="Calibri" w:hAnsi="Calibri"/>
          <w:b w:val="0"/>
          <w:sz w:val="22"/>
          <w:szCs w:val="22"/>
        </w:rPr>
      </w:pPr>
      <w:r>
        <w:rPr>
          <w:b w:val="0"/>
        </w:rPr>
        <w:t>For a measured carrier the following information is included:</w:t>
      </w:r>
    </w:p>
    <w:p w14:paraId="3CA18625" w14:textId="77777777" w:rsidR="00CF0F23" w:rsidRDefault="00CF0F23" w:rsidP="00CF0F23">
      <w:pPr>
        <w:pStyle w:val="Agreement"/>
        <w:numPr>
          <w:ilvl w:val="2"/>
          <w:numId w:val="16"/>
        </w:numPr>
        <w:rPr>
          <w:rFonts w:cs="Arial"/>
          <w:b w:val="0"/>
          <w:szCs w:val="20"/>
        </w:rPr>
      </w:pPr>
      <w:r>
        <w:rPr>
          <w:b w:val="0"/>
          <w:noProof/>
        </w:rPr>
        <w:t>Carrier frequency</w:t>
      </w:r>
      <w:r>
        <w:rPr>
          <w:rFonts w:cs="Arial"/>
          <w:b w:val="0"/>
          <w:szCs w:val="20"/>
        </w:rPr>
        <w:t>.</w:t>
      </w:r>
    </w:p>
    <w:p w14:paraId="1BA413BC" w14:textId="77777777" w:rsidR="00CF0F23" w:rsidRDefault="00CF0F23" w:rsidP="00CF0F23">
      <w:pPr>
        <w:pStyle w:val="Agreement"/>
        <w:numPr>
          <w:ilvl w:val="2"/>
          <w:numId w:val="16"/>
        </w:numPr>
        <w:rPr>
          <w:rFonts w:cs="Arial"/>
          <w:b w:val="0"/>
          <w:szCs w:val="20"/>
        </w:rPr>
      </w:pPr>
      <w:r>
        <w:rPr>
          <w:b w:val="0"/>
          <w:noProof/>
        </w:rPr>
        <w:t>Strongest cell PCI, RSRP/RSRQ</w:t>
      </w:r>
      <w:r>
        <w:rPr>
          <w:rFonts w:cs="Arial"/>
          <w:b w:val="0"/>
          <w:szCs w:val="20"/>
        </w:rPr>
        <w:t>.</w:t>
      </w:r>
    </w:p>
    <w:p w14:paraId="0095D90F" w14:textId="77777777" w:rsidR="00CF0F23" w:rsidRDefault="00CF0F23" w:rsidP="00CF0F23">
      <w:pPr>
        <w:pStyle w:val="Agreement"/>
        <w:numPr>
          <w:ilvl w:val="2"/>
          <w:numId w:val="16"/>
        </w:numPr>
        <w:rPr>
          <w:rFonts w:cs="Arial"/>
          <w:b w:val="0"/>
          <w:szCs w:val="20"/>
        </w:rPr>
      </w:pPr>
      <w:r>
        <w:rPr>
          <w:b w:val="0"/>
          <w:noProof/>
        </w:rPr>
        <w:t>Strongest cell CGI-info if RSRP above the threshold</w:t>
      </w:r>
      <w:r>
        <w:rPr>
          <w:rFonts w:cs="Arial"/>
          <w:b w:val="0"/>
          <w:szCs w:val="20"/>
        </w:rPr>
        <w:t>.</w:t>
      </w:r>
    </w:p>
    <w:p w14:paraId="0FB4CC0D" w14:textId="77777777" w:rsidR="00CF0F23" w:rsidRDefault="00CF0F23" w:rsidP="00CF0F23">
      <w:pPr>
        <w:pStyle w:val="Agreement"/>
        <w:rPr>
          <w:rFonts w:cs="Arial"/>
          <w:b w:val="0"/>
          <w:szCs w:val="20"/>
        </w:rPr>
      </w:pPr>
      <w:r>
        <w:rPr>
          <w:b w:val="0"/>
        </w:rPr>
        <w:t>Serving cell RSRQ/RSRP and CGI are included in the ANR report</w:t>
      </w:r>
      <w:r>
        <w:rPr>
          <w:rFonts w:cs="Arial"/>
          <w:b w:val="0"/>
          <w:szCs w:val="20"/>
        </w:rPr>
        <w:t>.</w:t>
      </w:r>
    </w:p>
    <w:p w14:paraId="2604B9A9" w14:textId="77777777" w:rsidR="00CF0F23" w:rsidRDefault="00CF0F23" w:rsidP="00CF0F23">
      <w:pPr>
        <w:pStyle w:val="Agreement"/>
        <w:rPr>
          <w:b w:val="0"/>
          <w:lang w:val="en-US"/>
        </w:rPr>
      </w:pPr>
      <w:r>
        <w:rPr>
          <w:b w:val="0"/>
          <w:lang w:val="en-US"/>
        </w:rPr>
        <w:t>The UE performs the instructed measurements according to existing RAN4 cell reselection measurement performance requirements. (</w:t>
      </w:r>
      <w:r w:rsidRPr="00CF0F23">
        <w:rPr>
          <w:rFonts w:cs="Arial"/>
          <w:b w:val="0"/>
        </w:rPr>
        <w:t>the measurements requirement in TS 36.133 section 4.6 apply</w:t>
      </w:r>
      <w:r>
        <w:rPr>
          <w:rFonts w:cs="Arial"/>
        </w:rPr>
        <w:t>)</w:t>
      </w:r>
    </w:p>
    <w:p w14:paraId="1E534A72" w14:textId="77777777" w:rsidR="00CF0F23" w:rsidRDefault="00CF0F23" w:rsidP="00CF0F23">
      <w:pPr>
        <w:pStyle w:val="Agreement"/>
        <w:rPr>
          <w:b w:val="0"/>
        </w:rPr>
      </w:pPr>
      <w:r>
        <w:rPr>
          <w:b w:val="0"/>
        </w:rPr>
        <w:t xml:space="preserve">ANR measurement doesn’t affect DRX / </w:t>
      </w:r>
      <w:proofErr w:type="spellStart"/>
      <w:r>
        <w:rPr>
          <w:b w:val="0"/>
        </w:rPr>
        <w:t>eDRX</w:t>
      </w:r>
      <w:proofErr w:type="spellEnd"/>
      <w:r>
        <w:rPr>
          <w:b w:val="0"/>
        </w:rPr>
        <w:t xml:space="preserve"> operation.</w:t>
      </w:r>
    </w:p>
    <w:p w14:paraId="7C5BC287" w14:textId="77777777" w:rsidR="00CF0F23" w:rsidRPr="00CF0F23" w:rsidRDefault="00CF0F23" w:rsidP="00CF0F23">
      <w:pPr>
        <w:rPr>
          <w:lang w:eastAsia="en-GB"/>
        </w:rPr>
      </w:pPr>
    </w:p>
    <w:p w14:paraId="6742A5B2" w14:textId="72D57269" w:rsidR="00CF0F23" w:rsidRPr="00CF0F23" w:rsidRDefault="00CF0F23" w:rsidP="00CF0F23">
      <w:pPr>
        <w:rPr>
          <w:lang w:eastAsia="en-GB"/>
        </w:rPr>
      </w:pPr>
      <w:r>
        <w:rPr>
          <w:lang w:eastAsia="en-GB"/>
        </w:rPr>
        <w:t xml:space="preserve">It is RAN4 group’s responsibility to as such define measurements. Here, RAN2 has assumed that the existing measurements would work. In this paper, we discuss that </w:t>
      </w:r>
      <w:r w:rsidR="003C297D">
        <w:rPr>
          <w:lang w:eastAsia="en-GB"/>
        </w:rPr>
        <w:t>a</w:t>
      </w:r>
      <w:r>
        <w:rPr>
          <w:lang w:eastAsia="en-GB"/>
        </w:rPr>
        <w:t xml:space="preserve"> LS should be sent to RAN4 so they can verify the assumptions are valid.</w:t>
      </w:r>
    </w:p>
    <w:p w14:paraId="02DB8E6F" w14:textId="77777777" w:rsidR="00CF0F23" w:rsidRPr="00CF0F23" w:rsidRDefault="00CF0F23" w:rsidP="00A2052C">
      <w:pPr>
        <w:rPr>
          <w:lang w:val="en-US"/>
        </w:rPr>
      </w:pPr>
    </w:p>
    <w:p w14:paraId="3BF3F9F6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19C930B5" w14:textId="14B61095" w:rsidR="0027144F" w:rsidRDefault="00CF0F23" w:rsidP="00CE0424">
      <w:pPr>
        <w:pStyle w:val="BodyText"/>
      </w:pPr>
      <w:r>
        <w:t xml:space="preserve">From 36.133, section 4.6, </w:t>
      </w:r>
      <w:r w:rsidR="00C800F8">
        <w:t xml:space="preserve">different </w:t>
      </w:r>
      <w:r>
        <w:t>timers and formulas have been defined</w:t>
      </w:r>
      <w:r w:rsidR="00115CB8">
        <w:t xml:space="preserve"> for cell reselection. It would be good if RAN4 can check whether the RAN2 assumptions are valid. RAN4 is starting with core Rel-16 work. It would be good if RAN4 can cross check and provide feedback to RAN2.</w:t>
      </w:r>
    </w:p>
    <w:p w14:paraId="27A6D210" w14:textId="6030BB5A" w:rsidR="00C800F8" w:rsidRDefault="00C800F8" w:rsidP="00CE0424">
      <w:pPr>
        <w:pStyle w:val="BodyText"/>
      </w:pPr>
      <w:r>
        <w:t xml:space="preserve">It has been agreed that UE may use </w:t>
      </w:r>
      <w:proofErr w:type="spellStart"/>
      <w:r>
        <w:t>eDRX</w:t>
      </w:r>
      <w:proofErr w:type="spellEnd"/>
      <w:r>
        <w:t xml:space="preserve"> cycle for strong cell detection. It would be good to ensure that it is possible to do so by RAN4 group.</w:t>
      </w:r>
    </w:p>
    <w:p w14:paraId="6662CDAA" w14:textId="08A723B6" w:rsidR="00F35E3A" w:rsidRDefault="00B979D6" w:rsidP="00F35E3A">
      <w:pPr>
        <w:rPr>
          <w:lang w:val="en-US"/>
        </w:rPr>
      </w:pPr>
      <w:r>
        <w:t>The</w:t>
      </w:r>
      <w:r w:rsidR="00F35E3A">
        <w:rPr>
          <w:lang w:val="en-US"/>
        </w:rPr>
        <w:t xml:space="preserve"> cell reselection measurements performance requirements TS36.133 for NB-IoT consists of 3 </w:t>
      </w:r>
      <w:r w:rsidR="00880C67">
        <w:rPr>
          <w:lang w:val="en-US"/>
        </w:rPr>
        <w:t>delay requirements, i.e. time required for cell detection, evaluation and measurement rate.</w:t>
      </w:r>
      <w:r w:rsidR="00F35E3A">
        <w:rPr>
          <w:lang w:val="en-US"/>
        </w:rPr>
        <w:t xml:space="preserve"> Are all the three</w:t>
      </w:r>
      <w:r w:rsidR="000572A3">
        <w:rPr>
          <w:lang w:val="en-US"/>
        </w:rPr>
        <w:t xml:space="preserve"> </w:t>
      </w:r>
      <w:r w:rsidR="00EA7DFA">
        <w:rPr>
          <w:lang w:val="en-US"/>
        </w:rPr>
        <w:t xml:space="preserve">delay requirements </w:t>
      </w:r>
      <w:r w:rsidR="00540A68">
        <w:rPr>
          <w:lang w:val="en-US"/>
        </w:rPr>
        <w:t>valid</w:t>
      </w:r>
      <w:r w:rsidR="00F35E3A">
        <w:rPr>
          <w:lang w:val="en-US"/>
        </w:rPr>
        <w:t xml:space="preserve">? Can the procedure be simplified such that the time required for evaluation of the measurements against the cell reselection </w:t>
      </w:r>
      <w:r w:rsidR="00C800F8">
        <w:rPr>
          <w:lang w:val="en-US"/>
        </w:rPr>
        <w:t>criteria be skipped?</w:t>
      </w:r>
      <w:r w:rsidR="00F35E3A">
        <w:rPr>
          <w:lang w:val="en-US"/>
        </w:rPr>
        <w:t xml:space="preserve"> </w:t>
      </w:r>
    </w:p>
    <w:p w14:paraId="4D88B5B1" w14:textId="2335A82D" w:rsidR="00296DE7" w:rsidRDefault="00296DE7" w:rsidP="00296DE7">
      <w:pPr>
        <w:rPr>
          <w:rFonts w:ascii="Calibri" w:hAnsi="Calibri"/>
          <w:lang w:val="en-US" w:eastAsia="en-US"/>
        </w:rPr>
      </w:pPr>
      <w:r>
        <w:rPr>
          <w:lang w:val="en-US"/>
        </w:rPr>
        <w:t>RAN2 is referring to the RAN4 requirements, thus a LS to inform RAN4 about these agreements</w:t>
      </w:r>
      <w:r w:rsidR="00300C70">
        <w:rPr>
          <w:lang w:val="en-US"/>
        </w:rPr>
        <w:t xml:space="preserve"> (about </w:t>
      </w:r>
      <w:r w:rsidR="00B570AC">
        <w:rPr>
          <w:lang w:val="en-US"/>
        </w:rPr>
        <w:t xml:space="preserve">NB-IoT </w:t>
      </w:r>
      <w:r w:rsidR="00300C70">
        <w:rPr>
          <w:lang w:val="en-US"/>
        </w:rPr>
        <w:t>ANR measurements)</w:t>
      </w:r>
      <w:r w:rsidR="00B570AC">
        <w:rPr>
          <w:lang w:val="en-US"/>
        </w:rPr>
        <w:t xml:space="preserve"> should be sent so RAN4 </w:t>
      </w:r>
      <w:r w:rsidR="00B3431F">
        <w:rPr>
          <w:lang w:val="en-US"/>
        </w:rPr>
        <w:t xml:space="preserve">can take this into account for any future </w:t>
      </w:r>
      <w:r w:rsidR="00415604">
        <w:rPr>
          <w:lang w:val="en-US"/>
        </w:rPr>
        <w:t>work. Further, RAN4 can</w:t>
      </w:r>
      <w:r>
        <w:rPr>
          <w:lang w:val="en-US"/>
        </w:rPr>
        <w:t xml:space="preserve"> check if they are correct or if any requirements are missing </w:t>
      </w:r>
      <w:r w:rsidR="00415604">
        <w:rPr>
          <w:lang w:val="en-US"/>
        </w:rPr>
        <w:t xml:space="preserve">or can be </w:t>
      </w:r>
      <w:r w:rsidR="002211FE">
        <w:rPr>
          <w:lang w:val="en-US"/>
        </w:rPr>
        <w:t>simplified</w:t>
      </w:r>
      <w:r>
        <w:rPr>
          <w:lang w:val="en-US"/>
        </w:rPr>
        <w:t>.</w:t>
      </w:r>
    </w:p>
    <w:p w14:paraId="76564442" w14:textId="614B57F3" w:rsidR="00F35E3A" w:rsidRDefault="00C800F8" w:rsidP="00C800F8">
      <w:pPr>
        <w:rPr>
          <w:lang w:val="en-US"/>
        </w:rPr>
      </w:pPr>
      <w:r>
        <w:rPr>
          <w:lang w:val="en-US"/>
        </w:rPr>
        <w:t>The objective is not to introduce any new measurement criteria but to ensure that the existing cell reselection is applicable for ANR and either all</w:t>
      </w:r>
      <w:r w:rsidR="006E54CA">
        <w:rPr>
          <w:lang w:val="en-US"/>
        </w:rPr>
        <w:t xml:space="preserve"> steps</w:t>
      </w:r>
      <w:r w:rsidR="00787434">
        <w:rPr>
          <w:lang w:val="en-US"/>
        </w:rPr>
        <w:t xml:space="preserve"> (delay requirements)</w:t>
      </w:r>
      <w:r>
        <w:rPr>
          <w:lang w:val="en-US"/>
        </w:rPr>
        <w:t xml:space="preserve"> are </w:t>
      </w:r>
      <w:r w:rsidR="006E54CA">
        <w:rPr>
          <w:lang w:val="en-US"/>
        </w:rPr>
        <w:t>needed</w:t>
      </w:r>
      <w:r>
        <w:rPr>
          <w:lang w:val="en-US"/>
        </w:rPr>
        <w:t xml:space="preserve">. </w:t>
      </w:r>
    </w:p>
    <w:p w14:paraId="33A23B28" w14:textId="18F03254" w:rsidR="00C800F8" w:rsidRPr="00CE0424" w:rsidRDefault="00C800F8" w:rsidP="00C800F8">
      <w:pPr>
        <w:pStyle w:val="Observation"/>
      </w:pPr>
      <w:bookmarkStart w:id="2" w:name="_Toc36386728"/>
      <w:bookmarkStart w:id="3" w:name="_Toc36386744"/>
      <w:bookmarkStart w:id="4" w:name="_Toc36550184"/>
      <w:bookmarkStart w:id="5" w:name="_Toc37280733"/>
      <w:r>
        <w:t xml:space="preserve">RAN2 has made some assumptions on the ANR measurements. Defining measurements is as such RAN4 responsibility. </w:t>
      </w:r>
      <w:r w:rsidR="003169EC">
        <w:t>Thus,</w:t>
      </w:r>
      <w:r>
        <w:t xml:space="preserve"> for sanity check RAN2 should verify/cross check with RAN4.</w:t>
      </w:r>
      <w:bookmarkEnd w:id="2"/>
      <w:bookmarkEnd w:id="3"/>
      <w:bookmarkEnd w:id="4"/>
      <w:bookmarkEnd w:id="5"/>
    </w:p>
    <w:p w14:paraId="565E4E2B" w14:textId="77777777" w:rsidR="00115CB8" w:rsidRPr="00CE0424" w:rsidRDefault="00115CB8" w:rsidP="00CE0424">
      <w:pPr>
        <w:pStyle w:val="BodyText"/>
      </w:pPr>
    </w:p>
    <w:p w14:paraId="7AE9AD38" w14:textId="77777777" w:rsidR="00287838" w:rsidRPr="00A04F49" w:rsidRDefault="00115CB8" w:rsidP="00A04F49">
      <w:pPr>
        <w:pStyle w:val="Proposal"/>
      </w:pPr>
      <w:bookmarkStart w:id="6" w:name="_Toc36386746"/>
      <w:bookmarkStart w:id="7" w:name="_Toc36550188"/>
      <w:bookmarkStart w:id="8" w:name="_Toc37280736"/>
      <w:r>
        <w:t>Send a LS to RAN4 to verify that the ANR measurements specified by RAN2 would work fine.</w:t>
      </w:r>
      <w:bookmarkEnd w:id="6"/>
      <w:bookmarkEnd w:id="7"/>
      <w:bookmarkEnd w:id="8"/>
    </w:p>
    <w:p w14:paraId="7BF879E0" w14:textId="77777777" w:rsidR="003742AC" w:rsidRPr="00CE0424" w:rsidRDefault="003742AC" w:rsidP="006E062C"/>
    <w:p w14:paraId="06687340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E7857D3" w14:textId="77777777" w:rsidR="002211FE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CF0F2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29CE1FB5" w14:textId="77777777" w:rsidR="002211FE" w:rsidRPr="002211FE" w:rsidRDefault="002211F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2211F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RAN2 has made some assumptions on the ANR measurements. Defining measurements is as such RAN4 responsibility. Thus, for sanity check RAN2 should verify/cross check with RAN4.</w:t>
      </w:r>
    </w:p>
    <w:p w14:paraId="51C107C1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92B8F85" w14:textId="77777777" w:rsidR="002211FE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CF0F2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72DA546" w14:textId="77777777" w:rsidR="002211FE" w:rsidRPr="002211FE" w:rsidRDefault="002211F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2211F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Send a LS to RAN4 to verify that the ANR measurements specified by RAN2 would work fine.</w:t>
      </w:r>
    </w:p>
    <w:p w14:paraId="7F44BE3B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0B42D22D" w14:textId="77777777" w:rsidR="008E065E" w:rsidRPr="00CE0424" w:rsidRDefault="008E065E" w:rsidP="008E065E">
      <w:pPr>
        <w:rPr>
          <w:b/>
          <w:bCs/>
        </w:rPr>
      </w:pPr>
    </w:p>
    <w:p w14:paraId="1D85BBD3" w14:textId="77777777" w:rsidR="00AB0BC8" w:rsidRPr="00CE0424" w:rsidRDefault="00AB0BC8" w:rsidP="00A04F49">
      <w:pPr>
        <w:rPr>
          <w:b/>
          <w:bCs/>
        </w:rPr>
      </w:pPr>
    </w:p>
    <w:p w14:paraId="2E835F53" w14:textId="77777777" w:rsidR="00311702" w:rsidRPr="00CE0424" w:rsidRDefault="00311702" w:rsidP="00AB0BC8"/>
    <w:p w14:paraId="00ECCC8C" w14:textId="77777777" w:rsidR="00C01F33" w:rsidRPr="00CE0424" w:rsidRDefault="00C01F33" w:rsidP="006E062C"/>
    <w:p w14:paraId="176FBEB9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bookmarkStart w:id="10" w:name="_Ref174151459"/>
    <w:bookmarkStart w:id="11" w:name="_Ref189809556"/>
    <w:p w14:paraId="2483D6D9" w14:textId="4D8D78FB" w:rsidR="005F3025" w:rsidRPr="00CE0424" w:rsidRDefault="005D30E5" w:rsidP="00311702">
      <w:pPr>
        <w:pStyle w:val="Reference"/>
      </w:pPr>
      <w:r>
        <w:fldChar w:fldCharType="begin"/>
      </w:r>
      <w:r>
        <w:instrText xml:space="preserve"> HYPERLINK "http://www.3gpp.org/ftp/tsg_ran/WG2_RL2/TSGR2_108/Docs/R2-1915301.zip" \o "http://www.3gpp.org/ftp/tsg_ran/WG2_RL2/TSGR2_108DocsR2-1915301.zip" </w:instrText>
      </w:r>
      <w:r>
        <w:fldChar w:fldCharType="separate"/>
      </w:r>
      <w:r>
        <w:rPr>
          <w:rStyle w:val="Hyperlink"/>
        </w:rPr>
        <w:t>R2-1915301</w:t>
      </w:r>
      <w:r>
        <w:fldChar w:fldCharType="end"/>
      </w:r>
      <w:r>
        <w:tab/>
        <w:t>Discussion on SON RACH and RLF remaining open issues, Huawei, HiSilicon</w:t>
      </w:r>
    </w:p>
    <w:bookmarkEnd w:id="10"/>
    <w:bookmarkEnd w:id="11"/>
    <w:p w14:paraId="70D60BFF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C17A4" w14:textId="77777777" w:rsidR="00D0564D" w:rsidRDefault="00D0564D">
      <w:r>
        <w:separator/>
      </w:r>
    </w:p>
  </w:endnote>
  <w:endnote w:type="continuationSeparator" w:id="0">
    <w:p w14:paraId="0F83263D" w14:textId="77777777" w:rsidR="00D0564D" w:rsidRDefault="00D05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C64AD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312BD" w14:textId="77777777" w:rsidR="00D0564D" w:rsidRDefault="00D0564D">
      <w:r>
        <w:separator/>
      </w:r>
    </w:p>
  </w:footnote>
  <w:footnote w:type="continuationSeparator" w:id="0">
    <w:p w14:paraId="3E4769C1" w14:textId="77777777" w:rsidR="00D0564D" w:rsidRDefault="00D05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64646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F23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2A3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955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5CB8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6F1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1FE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DE7"/>
    <w:rsid w:val="00296F44"/>
    <w:rsid w:val="0029777D"/>
    <w:rsid w:val="002A055E"/>
    <w:rsid w:val="002A1D4E"/>
    <w:rsid w:val="002A2869"/>
    <w:rsid w:val="002B24D6"/>
    <w:rsid w:val="002C41E6"/>
    <w:rsid w:val="002C5F52"/>
    <w:rsid w:val="002D071A"/>
    <w:rsid w:val="002D34B2"/>
    <w:rsid w:val="002D7637"/>
    <w:rsid w:val="002E17F2"/>
    <w:rsid w:val="002E7CAE"/>
    <w:rsid w:val="002F2771"/>
    <w:rsid w:val="002F37A9"/>
    <w:rsid w:val="00300C70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69EC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297D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604"/>
    <w:rsid w:val="00421105"/>
    <w:rsid w:val="004242F4"/>
    <w:rsid w:val="00427248"/>
    <w:rsid w:val="00437447"/>
    <w:rsid w:val="0044161A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586D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0A68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4D16"/>
    <w:rsid w:val="005B591A"/>
    <w:rsid w:val="005B6F83"/>
    <w:rsid w:val="005C74FB"/>
    <w:rsid w:val="005D1602"/>
    <w:rsid w:val="005D30E5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4CA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289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7434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0C67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4059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3EDB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431F"/>
    <w:rsid w:val="00B372AA"/>
    <w:rsid w:val="00B40445"/>
    <w:rsid w:val="00B41888"/>
    <w:rsid w:val="00B45A52"/>
    <w:rsid w:val="00B46175"/>
    <w:rsid w:val="00B570AC"/>
    <w:rsid w:val="00B6188F"/>
    <w:rsid w:val="00B664C7"/>
    <w:rsid w:val="00B739F6"/>
    <w:rsid w:val="00B81A6C"/>
    <w:rsid w:val="00B85DE5"/>
    <w:rsid w:val="00B90F73"/>
    <w:rsid w:val="00B93B59"/>
    <w:rsid w:val="00B9406A"/>
    <w:rsid w:val="00B979D6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00F8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F23"/>
    <w:rsid w:val="00CF1354"/>
    <w:rsid w:val="00CF3B1F"/>
    <w:rsid w:val="00CF3BF6"/>
    <w:rsid w:val="00CF625B"/>
    <w:rsid w:val="00CF687E"/>
    <w:rsid w:val="00D0349B"/>
    <w:rsid w:val="00D0564D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BF6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DFA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A1E"/>
    <w:rsid w:val="00F15FA5"/>
    <w:rsid w:val="00F209B7"/>
    <w:rsid w:val="00F2376F"/>
    <w:rsid w:val="00F243D8"/>
    <w:rsid w:val="00F30828"/>
    <w:rsid w:val="00F313D6"/>
    <w:rsid w:val="00F35E3A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E27CF1"/>
  <w15:chartTrackingRefBased/>
  <w15:docId w15:val="{C8F2F51A-94C9-4D8D-90C7-E905F170B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11A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F11A1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11A1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11A1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11A1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11A1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11A1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11A1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11A1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11A1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11A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1A1E"/>
  </w:style>
  <w:style w:type="paragraph" w:styleId="TOC8">
    <w:name w:val="toc 8"/>
    <w:basedOn w:val="TOC1"/>
    <w:semiHidden/>
    <w:rsid w:val="00F11A1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11A1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F11A1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11A1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11A1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11A1E"/>
    <w:pPr>
      <w:ind w:left="1418" w:hanging="1418"/>
    </w:pPr>
  </w:style>
  <w:style w:type="paragraph" w:styleId="TOC3">
    <w:name w:val="toc 3"/>
    <w:basedOn w:val="TOC2"/>
    <w:semiHidden/>
    <w:rsid w:val="00F11A1E"/>
    <w:pPr>
      <w:ind w:left="1134" w:hanging="1134"/>
    </w:pPr>
  </w:style>
  <w:style w:type="paragraph" w:styleId="TOC2">
    <w:name w:val="toc 2"/>
    <w:basedOn w:val="TOC1"/>
    <w:semiHidden/>
    <w:rsid w:val="00F11A1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11A1E"/>
    <w:pPr>
      <w:ind w:left="284"/>
    </w:pPr>
  </w:style>
  <w:style w:type="paragraph" w:styleId="Index1">
    <w:name w:val="index 1"/>
    <w:basedOn w:val="Normal"/>
    <w:semiHidden/>
    <w:rsid w:val="00F11A1E"/>
    <w:pPr>
      <w:keepLines/>
      <w:spacing w:after="0"/>
    </w:pPr>
  </w:style>
  <w:style w:type="paragraph" w:styleId="DocumentMap">
    <w:name w:val="Document Map"/>
    <w:basedOn w:val="Normal"/>
    <w:semiHidden/>
    <w:rsid w:val="00F11A1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11A1E"/>
    <w:pPr>
      <w:ind w:left="851"/>
    </w:pPr>
  </w:style>
  <w:style w:type="paragraph" w:styleId="ListNumber">
    <w:name w:val="List Number"/>
    <w:basedOn w:val="List"/>
    <w:rsid w:val="00F11A1E"/>
  </w:style>
  <w:style w:type="paragraph" w:styleId="List">
    <w:name w:val="List"/>
    <w:basedOn w:val="Normal"/>
    <w:rsid w:val="00F11A1E"/>
    <w:pPr>
      <w:ind w:left="568" w:hanging="284"/>
    </w:pPr>
  </w:style>
  <w:style w:type="paragraph" w:styleId="Header">
    <w:name w:val="header"/>
    <w:rsid w:val="00F11A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11A1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11A1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11A1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11A1E"/>
    <w:pPr>
      <w:ind w:left="1418" w:hanging="1418"/>
    </w:pPr>
  </w:style>
  <w:style w:type="paragraph" w:styleId="TOC6">
    <w:name w:val="toc 6"/>
    <w:basedOn w:val="TOC5"/>
    <w:next w:val="Normal"/>
    <w:semiHidden/>
    <w:rsid w:val="00F11A1E"/>
    <w:pPr>
      <w:ind w:left="1985" w:hanging="1985"/>
    </w:pPr>
  </w:style>
  <w:style w:type="paragraph" w:styleId="TOC7">
    <w:name w:val="toc 7"/>
    <w:basedOn w:val="TOC6"/>
    <w:next w:val="Normal"/>
    <w:semiHidden/>
    <w:rsid w:val="00F11A1E"/>
    <w:pPr>
      <w:ind w:left="2268" w:hanging="2268"/>
    </w:pPr>
  </w:style>
  <w:style w:type="paragraph" w:styleId="ListBullet2">
    <w:name w:val="List Bullet 2"/>
    <w:basedOn w:val="ListBullet"/>
    <w:rsid w:val="00F11A1E"/>
    <w:pPr>
      <w:numPr>
        <w:numId w:val="6"/>
      </w:numPr>
    </w:pPr>
  </w:style>
  <w:style w:type="paragraph" w:styleId="ListBullet">
    <w:name w:val="List Bullet"/>
    <w:basedOn w:val="BodyText"/>
    <w:rsid w:val="00F11A1E"/>
    <w:pPr>
      <w:numPr>
        <w:numId w:val="5"/>
      </w:numPr>
    </w:pPr>
  </w:style>
  <w:style w:type="paragraph" w:styleId="ListBullet3">
    <w:name w:val="List Bullet 3"/>
    <w:basedOn w:val="ListBullet2"/>
    <w:rsid w:val="00F11A1E"/>
    <w:pPr>
      <w:numPr>
        <w:numId w:val="7"/>
      </w:numPr>
    </w:pPr>
  </w:style>
  <w:style w:type="paragraph" w:customStyle="1" w:styleId="EQ">
    <w:name w:val="EQ"/>
    <w:basedOn w:val="Normal"/>
    <w:next w:val="Normal"/>
    <w:rsid w:val="00F11A1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F11A1E"/>
    <w:pPr>
      <w:ind w:left="851"/>
    </w:pPr>
  </w:style>
  <w:style w:type="paragraph" w:styleId="List3">
    <w:name w:val="List 3"/>
    <w:basedOn w:val="List2"/>
    <w:rsid w:val="00F11A1E"/>
    <w:pPr>
      <w:ind w:left="1135"/>
    </w:pPr>
  </w:style>
  <w:style w:type="paragraph" w:styleId="List4">
    <w:name w:val="List 4"/>
    <w:basedOn w:val="List3"/>
    <w:rsid w:val="00F11A1E"/>
    <w:pPr>
      <w:ind w:left="1418"/>
    </w:pPr>
  </w:style>
  <w:style w:type="paragraph" w:styleId="List5">
    <w:name w:val="List 5"/>
    <w:basedOn w:val="List4"/>
    <w:rsid w:val="00F11A1E"/>
    <w:pPr>
      <w:ind w:left="1702"/>
    </w:pPr>
  </w:style>
  <w:style w:type="paragraph" w:customStyle="1" w:styleId="EditorsNote">
    <w:name w:val="Editor's Note"/>
    <w:basedOn w:val="Normal"/>
    <w:rsid w:val="00F11A1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F11A1E"/>
    <w:pPr>
      <w:numPr>
        <w:numId w:val="8"/>
      </w:numPr>
    </w:pPr>
  </w:style>
  <w:style w:type="paragraph" w:styleId="ListBullet5">
    <w:name w:val="List Bullet 5"/>
    <w:basedOn w:val="ListBullet4"/>
    <w:rsid w:val="00F11A1E"/>
    <w:pPr>
      <w:numPr>
        <w:numId w:val="4"/>
      </w:numPr>
    </w:pPr>
  </w:style>
  <w:style w:type="paragraph" w:styleId="Footer">
    <w:name w:val="footer"/>
    <w:basedOn w:val="Header"/>
    <w:semiHidden/>
    <w:rsid w:val="00F11A1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11A1E"/>
    <w:pPr>
      <w:numPr>
        <w:numId w:val="2"/>
      </w:numPr>
    </w:pPr>
  </w:style>
  <w:style w:type="paragraph" w:styleId="BalloonText">
    <w:name w:val="Balloon Text"/>
    <w:basedOn w:val="Normal"/>
    <w:semiHidden/>
    <w:rsid w:val="00F11A1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11A1E"/>
  </w:style>
  <w:style w:type="paragraph" w:styleId="BodyText">
    <w:name w:val="Body Text"/>
    <w:basedOn w:val="Normal"/>
    <w:link w:val="BodyTextChar"/>
    <w:rsid w:val="00F11A1E"/>
  </w:style>
  <w:style w:type="character" w:styleId="Hyperlink">
    <w:name w:val="Hyperlink"/>
    <w:uiPriority w:val="99"/>
    <w:rsid w:val="00F11A1E"/>
    <w:rPr>
      <w:color w:val="0000FF"/>
      <w:u w:val="single"/>
      <w:lang w:val="en-GB"/>
    </w:rPr>
  </w:style>
  <w:style w:type="character" w:styleId="FollowedHyperlink">
    <w:name w:val="FollowedHyperlink"/>
    <w:semiHidden/>
    <w:rsid w:val="00F11A1E"/>
    <w:rPr>
      <w:color w:val="FF0000"/>
      <w:u w:val="single"/>
    </w:rPr>
  </w:style>
  <w:style w:type="character" w:styleId="CommentReference">
    <w:name w:val="annotation reference"/>
    <w:semiHidden/>
    <w:rsid w:val="00F11A1E"/>
    <w:rPr>
      <w:sz w:val="16"/>
      <w:szCs w:val="16"/>
    </w:rPr>
  </w:style>
  <w:style w:type="paragraph" w:styleId="CommentText">
    <w:name w:val="annotation text"/>
    <w:basedOn w:val="Normal"/>
    <w:semiHidden/>
    <w:rsid w:val="00F11A1E"/>
  </w:style>
  <w:style w:type="paragraph" w:styleId="CommentSubject">
    <w:name w:val="annotation subject"/>
    <w:basedOn w:val="CommentText"/>
    <w:next w:val="CommentText"/>
    <w:semiHidden/>
    <w:rsid w:val="00F11A1E"/>
    <w:rPr>
      <w:b/>
      <w:bCs/>
    </w:rPr>
  </w:style>
  <w:style w:type="character" w:customStyle="1" w:styleId="Heading1Char">
    <w:name w:val="Heading 1 Char"/>
    <w:link w:val="Heading1"/>
    <w:rsid w:val="00F11A1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F11A1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F11A1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F11A1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F11A1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F11A1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11A1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F11A1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F11A1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F11A1E"/>
    <w:pPr>
      <w:spacing w:after="0"/>
    </w:pPr>
  </w:style>
  <w:style w:type="paragraph" w:customStyle="1" w:styleId="TAL">
    <w:name w:val="TAL"/>
    <w:basedOn w:val="Normal"/>
    <w:rsid w:val="00F11A1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F11A1E"/>
    <w:pPr>
      <w:jc w:val="center"/>
    </w:pPr>
  </w:style>
  <w:style w:type="paragraph" w:customStyle="1" w:styleId="TAH">
    <w:name w:val="TAH"/>
    <w:basedOn w:val="TAC"/>
    <w:rsid w:val="00F11A1E"/>
    <w:rPr>
      <w:b/>
    </w:rPr>
  </w:style>
  <w:style w:type="paragraph" w:customStyle="1" w:styleId="TAN">
    <w:name w:val="TAN"/>
    <w:basedOn w:val="TAL"/>
    <w:rsid w:val="00F11A1E"/>
    <w:pPr>
      <w:ind w:left="851" w:hanging="851"/>
    </w:pPr>
  </w:style>
  <w:style w:type="paragraph" w:customStyle="1" w:styleId="TAR">
    <w:name w:val="TAR"/>
    <w:basedOn w:val="TAL"/>
    <w:rsid w:val="00F11A1E"/>
    <w:pPr>
      <w:jc w:val="right"/>
    </w:pPr>
  </w:style>
  <w:style w:type="paragraph" w:customStyle="1" w:styleId="TH">
    <w:name w:val="TH"/>
    <w:basedOn w:val="Normal"/>
    <w:rsid w:val="00F11A1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F11A1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11A1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11A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11A1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11A1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11A1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11A1E"/>
  </w:style>
  <w:style w:type="paragraph" w:customStyle="1" w:styleId="ZH">
    <w:name w:val="ZH"/>
    <w:rsid w:val="00F11A1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11A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11A1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11A1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11A1E"/>
    <w:pPr>
      <w:framePr w:wrap="notBeside" w:y="16161"/>
    </w:pPr>
  </w:style>
  <w:style w:type="paragraph" w:customStyle="1" w:styleId="FP">
    <w:name w:val="FP"/>
    <w:basedOn w:val="Normal"/>
    <w:rsid w:val="00F11A1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F11A1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11A1E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11A1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11A1E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qFormat/>
    <w:rsid w:val="00CF0F23"/>
    <w:pPr>
      <w:numPr>
        <w:numId w:val="16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Ericsson%20AB\SWEA%20-%20RAN2\RAN2%20meetings\RAN2_109_Athens\Ericsson%20Contributions\Positioning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2369D3A-098C-460C-A432-8609869AB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248BDF-E2AA-4885-86D4-1DB0599E0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2</Pages>
  <Words>540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4</cp:revision>
  <cp:lastPrinted>2008-01-31T16:09:00Z</cp:lastPrinted>
  <dcterms:created xsi:type="dcterms:W3CDTF">2020-04-09T13:52:00Z</dcterms:created>
  <dcterms:modified xsi:type="dcterms:W3CDTF">2020-04-09T20:40:00Z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af47109d-01f5-4e36-8924-a400392b6e19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</Properties>
</file>